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Niramit AS" w:cs="TH Niramit AS" w:eastAsia="TH Niramit AS" w:hAnsi="TH Niramit AS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2473960</wp:posOffset>
            </wp:positionH>
            <wp:positionV relativeFrom="paragraph">
              <wp:posOffset>-172719</wp:posOffset>
            </wp:positionV>
            <wp:extent cx="1189355" cy="105156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51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Niramit AS" w:cs="TH Niramit AS" w:eastAsia="TH Niramit AS" w:hAnsi="TH Niramit AS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Niramit AS" w:cs="TH Niramit AS" w:eastAsia="TH Niramit AS" w:hAnsi="TH Niramit AS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ประกาศองค์การบริหารส่วนตำบลลุโบะบายะ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เรื่อง  การเปิดโอกาสให้เกิดการมีส่วนร่วม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0"/>
        <w:pBdr/>
        <w:spacing w:after="120" w:before="0" w:line="240" w:lineRule="auto"/>
        <w:ind w:left="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…………………….…………………..……………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ด้วยพระราชกฤษฏีกาว่าด้วยหลักเกณฑ์และวิธีการบริหารกิจการบ้านเมืองที่ดี พ.ศ. ๒๕๔๖ มาตรา ๘ วรรค ๑ (๓) (๔) ได้กำหนดให้การบริหารราชการเพื่อประโยชน์สุขของประชาชน ส่วนราชการจะต้องดำเนินการโดยถือว่าประชาชนเป็นศูนย์กลางที่จะได้รับการบริการจากภาครัฐ และจะต้องมีแนวทางในการรับฟังความคิดเห็นของประชาชน และรัฐบาลได้ให้ความสำคัญกับนโยบายในการป้องกันปราบปรามการทุจริตและประพฤติมิชอบในภาครัฐ (Integrity and Transparency Assessment – ITA) ประจำปีงบประมาณ พ.ศ. ๒๕๖๒ ซึ่งเป็นการประเมินเพื่อวัดระดับคุณธรรมและความโปร่งใสในการดำเนินงานของหน่วยงานที่มีกรอบการประเมิน ในเกณฑ์การประเมินที่ ๙ การเปิดเผยข้อมูล ตัวชี้วัดย่อยที่ ๙.๕ การส่งเสริมความโปร่งใสโดยมีประเด็นการตรวจ เกี่ยวกับการเปิดโอกาสให้เกิดการมีส่วนร่วม ซึ่งได้ระบุไว้ ดังนี้ ๑) มีช่องทางรับฟังความเห็น ๒) มีการเปิดโอกาส ให้เกิดการมีส่วนร่วม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  <w:tab/>
        <w:tab/>
        <w:t xml:space="preserve">ดังนั้น เพื่อให้การปฏิบัติราชการขององค์การบริหารส่วนตำบลลุโบะบายะ เป็นไปด้วยความเรียบร้อยและเพื่อประโยชน์ของทางราชการ ประกอบประกาศเจตจำนงสุจริตในการบริหารงานของนายกองค์การบริหารส่วนตำบลลุโบะบายะ ที่จะปฏิบัติราชการโดยให้ความสำคัญและเปิดโอกาสให้ผู้มีส่วนได้ส่วนเสียเข้ามามีส่วนร่วมและตรวจสอบการปฏิบัติงาน เปิดเผยข้อมูลข่าวสารในการดำเนินกิจกรรมทุกรูปแบบ และสามารถเข้าถึงข้อมูลเกี่ยวกับการจัดซื้อจัดจ้างในทุกขั้นตอนตามที่กฎหมายกำหนดไว้ จึงกำหนดมาตรการ กลไก ในการให้ประชาชนหรือผู้มีส่วนได้ส่วนเสียเข้ามามีส่วนร่วมในการดำเนินงานขององค์การบริหารส่วนตำบลลุโบะบายะ โดยมีรายละเอียด 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๑.  ความหมายของการมีส่วนร่วม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การมีส่วนร่วมหมายถึง กระบวนการที่ประชาชนหรือผู้มีส่วนได้ส่วนเสียที่เกี่ยวข้อง มีโอกาสเข้าร่วมในกระบวนการหรือขั้นตอนต่าง ๆ ของการบริหาร ตั้งแต่การรับรู้ข้อมูล การปฏิบัติงาน การร่วมแสดงทัศนะความคิด การร่วมเสนอปัญหาและความต้องการของชุมชนและท้องถิ่น การร่วมคิดแนวทางการแก้ไขปัญหา การร่วมในกระบวนการตัดสินใจ การร่วมในการดำเนินการ และมีส่วนร่วมในการติดตามประเมินผล รวมทั้งการร่วมรับประโยชน์จากการพัฒนา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๒.  ระดับการมีส่วนร่วม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ประชาชนหรือผู้มีส่วนได้ส่วนเสียสามารถเข้ามามีส่วนร่วมในการดำเนินงานขององค์การบริหารส่วนตำบลลุโบะบายะ ใน ๕ ระดับการมีส่วนร่วม ดังนี้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ระดับที่ ๑  การมีส่วนร่วมในระดับให้ข้อมูลข่าวสาร เป็นการให้ข้อมูลข่าวสารแก่ประชาชนเกี่ยวกับกิจกรรมต่าง ๆ ของหน่วยงาน เป็นระดับการมีส่วนร่วมที่ประชาชนเข้ามามีส่วนร่วมน้อยที่สุด แต่ถือว่าเป็นขั้นพื้นฐานของการมีส่วนร่วม โดยหน่วยงานมีหน้าที่นำเสนอข้อมูลที่เป็นจริง ถูกต้อง ทันสมัยและเข้าถึงได้ ซึ่งเป็นสิทธิขั้นพื้นฐานของประชาชนในการได้รับข้อมูลข่าวสารเกี่ยวกับภารกิจของหน่วยงาน โดยรูปแบบการมีส่วนร่วมในระดับนี้อยู่ในลักษณะการให้ข้อมูลทางเดียวจากรัฐสู่ประชาชน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ระดับที่ ๒ การมีส่วนร่วมในระดับการปรึกษาหารือ เป็นการมีส่วนร่วมของประชาชน                 ในการให้ข้อมูล ข้อเท็จจริง และแสดงความคิดเห็น รวมทั้งข้อเสนอแนะเกี่ยวกับการดำเนินการ/การปฏิบัติงานของหน่วยงานของรัฐอย่างอิสระและเป็นระบบ โดยหน่วยงานจัดให้มีกระบวนการการรับฟังความคิดเห็นของประชาชน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-๒-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ทั้งเป็นทางการและไม่เป็นทางการ และนำข้อเสนอแนะ ความคิดเห็นและประเด็นที่ประชาชนเป็นห่วง ไปเป็นแนวทางในการปรับปรุงนโยบาย หรือพัฒนาวิธีการปฏิบัติงานในหน่วยงานและประกอบการตัดสินใจ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ระดับที่ ๓ การมีส่วนร่วมในระดับให้เข้ามามีบทบาท เป็นลักษณะที่ประชาชนเข้าใจ มีส่วนร่วมหรือเกี่ยวข้องในกระบวนการการวางแผนและตัดสินใจ ซึ่งมีการแลกเปลี่ยนความคิดเห็นและข้อมูล ระหว่างรัฐกับประชาชนอย่างจริงจัง และมีจุดมุ่งหมายชัดเจน โดยประชาชนเข้ามามีส่วนร่วมในการกำหนด นโยบายการวางแผนงานโครงการและวิธีการปฏิบัติ ซึ่งหน่วยงานมีหน้าที่จัดระบบอำนวยความสะดวก และยอมรับการเสนอแนะ และมีการตัดสินใจร่วมกับภาคประชาชน การมีส่วนร่วมระดับนี้อาจจะดำเนินการ                ในรูปแบบกรรมการที่มีตัวแทนภาคประชาชนเข้าร่วม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ระดับที่  ๔  การมีส่วนร่วมในการสร้างความร่วมมือ เป็นการให้ความสำคัญกับบทบาทของประชาชนในระดับสูง โดยมีเป้าหมายสำคัญอยู่ที่การมีส่วนร่วมกับประชาชนในทุกขั้นตอนของการตัดสินใจตั้งแต่การระบุปัญหา พัฒนาทางเลือก และแนวทางแก้ไข รวมทั้งการเป็นภาคีในการดำเนินกิจกรรมของหน่วยงาน การมีส่วนร่วมในระดับนี้ คือ การที่หน่วยงานสัญญากับประชาชนและกลุ่มผู้มีส่วนได้ส่วนเสียในการดำเนินงานร่วมกัน และนำแนวคิดใหม่ ๆ หรือข้อเสนอแนะของประชาชนมาเป็นส่วนหนึ่งของกระบวนการตัดสินใจให้มากที่สุดเท่าที่จะทำได้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ระดับที่ ๕  การมีส่วนร่วมในระดับเสริมอำนาจประชาชน เป็นระดับการมีส่วนร่วมที่ประชาชนมีบทบาทในระดับสูงสุด โดยการเปิดโอกาสให้ประชาชนมีบทบาทในการเป็นผู้ตัดสินใจ ซึ่งผลการตัดสินใจมีผลผูกพันให้หน่วยงานจะต้องดำเนินการตามการตัดสินใจของประชาชน การมีส่วนร่วมของประชาชนในระดับสูงสุดนี้ เน้นให้ประชาชนมีบทบาทในการบริหารจัดการโดยเป็นผู้ดำเนินภารกิจ และหน่วยงานมีหน้าที่ในการส่งเสริมสนับสนุนเท่านั้น ประโยชน์ของการตัดสินใจในขั้นนี้ คือ การสร้างการเรียนรู้ ความเข้าใจและความรู้สึกเป็นเจ้าของร่วมกัน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๓. มาตรการ/กลไก/แนวทางในการเสริมสร้างการเข้ามามีส่วนร่วม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๓.๑  ให้หน่วยงานที่มีภารกิจในการให้บริการ การอนุมัติ การอนุญาต หรือดำเนินกิจกรรมร่วมกับประชาชนและหน่วยงานองค์กรภาคีต่าง ๆ จัดให้มีช่องทางและกิจกรรมให้ประชาชนและผู้มีส่วนได้ส่วนเสียเข้ามามีส่วนร่วมในการดำเนินงานตามภารกิจให้ชัดเจ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๓.๒  ให้จัดทำและเผยแพร่วิธีการ หรือขั้นตอนการมีส่วนร่วมของประชาชนหรือผู้มีส่วนได้ส่วนเสียทั้งในหน่วยงานและสื่อสาธารณะของหน่วยงานอย่างเปิดเผย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๓.๓  กำหนดให้มีระบบดำเนินงานสร้างการมีส่วนร่วม หรือรับฟังความคิดเห็นของประชาชน หรือผู้มีส่วนได้ส่วนเสียในภารกิจ ประกอบด้วย ๓ ขั้นตอน คือ ก่อนวางแผนดำเนินงาน ระหว่างดำเนินงาน และหลังดำเนินงาน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๓.๔  ส่งเสริม สนับสนุน การมีส่วนร่วมกับภาคีเครือข่ายภายนอก โดยเฉพาะ ผู้รับบริการและผู้มีส่วนได้ส่วนเสีย ให้เกิดความร่วมมือเป็นผู้เฝ้าระวัง การแจ้งเบาะแส และรณรงค์สร้างความรู้ ความเข้าใจในภารกิจหน้าที่ วิธีการดำเนินงานของหน่วยงาน ซึ่งเน้นการปลอดการทุจริตเพื่อให้เกิดพลังเข้มแข็ง ช่วยป้องกันการทุจริตและประพฤติมิชอบ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๓.๕  ให้หัวหน้าหน่วยงานทำหน้าที่กำกับ ดูแล และประเมนผลการมีส่วนร่วมของประชาชนหรือผู้มีส่วนได้ส่วนเสีย และรายงานผลการดำเนินงานต่อนายกองค์การบริหารส่วนตำบลลุโบะบายะ อย่างน้อยปีละ ๒ ครั้ง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-๓-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ประกาศฉบับนี้ กำหนดขึ้นเพื่อเป็นแนวทางให้ประชาชนหรือผู้มีส่วนได้ส่วนเสียเข้ามามีส่วนร่วมในการบริหารราชกาการขององค์การบริหารส่วนตำบลลุโบะบายะ ตามการประเมินคุณธรรมและความโปร่งใสในการดำเนินงานของหน่วยงาน (Integrity and Transparency Assessment – ITA) สำหรับการมีส่วนร่วมของภาคประชาชน หรือผู้มีส่วนได้ส่วนเสียที่มีระเบียบ กฎหมาย หรือแนวทางปฏิบัติใด ๆ ไว้เป็นการเฉพาะให้ดำเนินการให้เป็นไปตามที่ระเบียบหรือกฎหมายนั้นกำหนด ดังนั้น เห็นควรเผยแพร่ประกาศดังกล่าวเพื่อประชาชนทราบโดยทั่วไป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จึงประกาศให้ทราบโดยทั่วกัน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2160" w:right="0" w:firstLine="720"/>
        <w:contextualSpacing w:val="0"/>
        <w:jc w:val="lef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ประกาศ  ณ  วันที่  ๑๗ เดือนมิถุนายน  พ.ศ. ๒๕๖๒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อาหามะบาสอรี  ดือเระ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( นายอาหามะบาสอรี  ดือเระ 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center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นายกองค์การบริหารส่วนตำบลลุโบะบายะ</w:t>
      </w:r>
    </w:p>
    <w:sectPr>
      <w:pgSz w:h="15840" w:w="12240"/>
      <w:pgMar w:bottom="142" w:top="851" w:left="1701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H Niramit AS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1">
    <w:name w:val="หัวเรื่อง 1"/>
    <w:basedOn w:val="ปกติ"/>
    <w:next w:val="ปกติ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Cordia New" w:hAnsi="Arial"/>
      <w:b w:val="1"/>
      <w:bCs w:val="1"/>
      <w:w w:val="100"/>
      <w:kern w:val="32"/>
      <w:position w:val="-1"/>
      <w:sz w:val="32"/>
      <w:szCs w:val="37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3">
    <w:name w:val="หัวเรื่อง 3"/>
    <w:basedOn w:val="ปกติ"/>
    <w:next w:val="ปกติ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Angsana New" w:hAnsi="Cambria"/>
      <w:b w:val="1"/>
      <w:bCs w:val="1"/>
      <w:w w:val="100"/>
      <w:position w:val="-1"/>
      <w:sz w:val="26"/>
      <w:szCs w:val="33"/>
      <w:highlight w:val="none"/>
      <w:effect w:val="none"/>
      <w:vertAlign w:val="baseline"/>
      <w:cs w:val="0"/>
      <w:em w:val="none"/>
      <w:lang w:bidi="th-TH" w:eastAsia="und" w:val="und"/>
    </w:rPr>
  </w:style>
  <w:style w:type="paragraph" w:styleId="หัวเรื่อง4">
    <w:name w:val="หัวเรื่อง 4"/>
    <w:basedOn w:val="ปกติ"/>
    <w:next w:val="ปกติ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32"/>
      <w:szCs w:val="32"/>
      <w:highlight w:val="none"/>
      <w:effect w:val="none"/>
      <w:vertAlign w:val="baseline"/>
      <w:cs w:val="0"/>
      <w:em w:val="none"/>
      <w:lang w:bidi="th-TH" w:eastAsia="en-US" w:val="en-US"/>
    </w:rPr>
  </w:style>
  <w:style w:type="character" w:styleId="แบบอักษรของย่อหน้าเริ่มต้น">
    <w:name w:val="แบบอักษรของย่อหน้าเริ่มต้น"/>
    <w:next w:val="แบบอักษรของย่อหน้าเริ่มต้น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tblStyle w:val="ตารางปกติ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เส้นตาราง">
    <w:name w:val="เส้นตาราง"/>
    <w:basedOn w:val="ตารางปกติ"/>
    <w:next w:val="เส้นตาร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tblStyle w:val="เส้นตาราง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การเชื่อมโยงหลายมิติ">
    <w:name w:val="การเชื่อมโยงหลายมิติ"/>
    <w:next w:val="การเชื่อมโยงหลายมิติ"/>
    <w:autoRedefine w:val="0"/>
    <w:hidden w:val="0"/>
    <w:qFormat w:val="0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paragraph" w:styleId="เนื้อความ">
    <w:name w:val="เนื้อความ"/>
    <w:basedOn w:val="ปกติ"/>
    <w:next w:val="เนื้อความ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cs="Angsana New" w:eastAsia="Cordia New" w:hAnsi="Cordia New"/>
      <w:w w:val="100"/>
      <w:position w:val="-1"/>
      <w:sz w:val="32"/>
      <w:szCs w:val="32"/>
      <w:highlight w:val="none"/>
      <w:effect w:val="none"/>
      <w:vertAlign w:val="baseline"/>
      <w:cs w:val="0"/>
      <w:em w:val="none"/>
      <w:lang w:bidi="th-TH" w:eastAsia="und" w:val="und"/>
    </w:rPr>
  </w:style>
  <w:style w:type="character" w:styleId="เนื้อความอักขระ">
    <w:name w:val="เนื้อความ อักขระ"/>
    <w:next w:val="เนื้อความอักขระ"/>
    <w:autoRedefine w:val="0"/>
    <w:hidden w:val="0"/>
    <w:qFormat w:val="0"/>
    <w:rPr>
      <w:rFonts w:ascii="Cordia New" w:cs="Cordia New" w:eastAsia="Cordia New" w:hAnsi="Cordia New"/>
      <w:w w:val="100"/>
      <w:position w:val="-1"/>
      <w:sz w:val="32"/>
      <w:szCs w:val="32"/>
      <w:highlight w:val="none"/>
      <w:effect w:val="none"/>
      <w:vertAlign w:val="baseline"/>
      <w:cs w:val="0"/>
      <w:em w:val="none"/>
      <w:lang/>
    </w:rPr>
  </w:style>
  <w:style w:type="paragraph" w:styleId="ข้อความบอลลูน">
    <w:name w:val="ข้อความบอลลูน"/>
    <w:basedOn w:val="ปกติ"/>
    <w:next w:val="ข้อความบอลลูน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Angsana New" w:hAnsi="Tahoma"/>
      <w:w w:val="100"/>
      <w:position w:val="-1"/>
      <w:sz w:val="16"/>
      <w:szCs w:val="20"/>
      <w:highlight w:val="none"/>
      <w:effect w:val="none"/>
      <w:vertAlign w:val="baseline"/>
      <w:cs w:val="0"/>
      <w:em w:val="none"/>
      <w:lang w:bidi="th-TH" w:eastAsia="und" w:val="und"/>
    </w:rPr>
  </w:style>
  <w:style w:type="character" w:styleId="ข้อความบอลลูนอักขระ">
    <w:name w:val="ข้อความบอลลูน อักขระ"/>
    <w:next w:val="ข้อความบอลลูนอักขระ"/>
    <w:autoRedefine w:val="0"/>
    <w:hidden w:val="0"/>
    <w:qFormat w:val="0"/>
    <w:rPr>
      <w:rFonts w:ascii="Tahoma" w:hAnsi="Tahoma"/>
      <w:w w:val="100"/>
      <w:position w:val="-1"/>
      <w:sz w:val="16"/>
      <w:highlight w:val="none"/>
      <w:effect w:val="none"/>
      <w:vertAlign w:val="baseline"/>
      <w:cs w:val="0"/>
      <w:em w:val="none"/>
      <w:lang/>
    </w:rPr>
  </w:style>
  <w:style w:type="character" w:styleId="หัวเรื่อง3อักขระ">
    <w:name w:val="หัวเรื่อง 3 อักขระ"/>
    <w:next w:val="หัวเรื่อง3อักขระ"/>
    <w:autoRedefine w:val="0"/>
    <w:hidden w:val="0"/>
    <w:qFormat w:val="0"/>
    <w:rPr>
      <w:rFonts w:ascii="Cambria" w:cs="Angsana New" w:eastAsia="Times New Roman" w:hAnsi="Cambria"/>
      <w:b w:val="1"/>
      <w:bCs w:val="1"/>
      <w:w w:val="100"/>
      <w:position w:val="-1"/>
      <w:sz w:val="26"/>
      <w:szCs w:val="33"/>
      <w:highlight w:val="non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