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Niramit AS" w:cs="TH Niramit AS" w:eastAsia="TH Niramit AS" w:hAnsi="TH Niramit A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2286635</wp:posOffset>
            </wp:positionH>
            <wp:positionV relativeFrom="paragraph">
              <wp:posOffset>-172719</wp:posOffset>
            </wp:positionV>
            <wp:extent cx="1189355" cy="105156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51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Niramit AS" w:cs="TH Niramit AS" w:eastAsia="TH Niramit AS" w:hAnsi="TH Niramit A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Niramit AS" w:cs="TH Niramit AS" w:eastAsia="TH Niramit AS" w:hAnsi="TH Niramit A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SarabunPSK" w:cs="TH SarabunPSK" w:eastAsia="TH SarabunPSK" w:hAnsi="TH SarabunP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ประกาศองค์การบริหารส่วนตำบลลุโบะบายะ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contextualSpacing w:val="0"/>
        <w:jc w:val="center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เรื่อง  มาตรการให้ผู้ที่มีส่วนได้ส่วนเสียมีส่วนร่วม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contextualSpacing w:val="0"/>
        <w:jc w:val="center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rtl w:val="0"/>
        </w:rPr>
        <w:t xml:space="preserve"> ........................................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เพื่อให้การดำเนินงานขององค์การบริหารส่วนตำบลลุโบะบายะ เป็นไปตามเจตนาจำนงสุจริต ตามแนวนโยบายของผู้บริหารองค์การบริหารส่วนตำบล ในด้านความโปร่งใส สามารถตรวจสอบได้ เปิดโอกาส      ให้ผู้รับบริการ หรือผู้มีส่วนได้ส่วนเสียเข้ามามีส่วนร่วมในการดำเนินงานขององค์การบริหารส่วนตำบล            ในทุกระดับ องค์การบริหารส่วนตำบลลุโบะบายะบริหารราชการแบบมีส่วนร่วม โดยให้ผู้รับบริการหรือ ผู้มีส่วนได้ส่วนเสียเข้ามามีส่วนร่วมในการดำเนินงานตามความเหมาะสม ดังนี้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(๑) การมีส่วนร่วมในการให้ข้อมูลข่าวสาร โดยให้ข้อมูลข่าวสารเกี่ยวกับกิจกรรมต่างๆ ขององค์การบริหารส่วนตำบลหรือส่วนราชการภายในแก่ผู้รับบริการ ผู้มีส่วนได้ส่วนเสีย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(๒) การมีส่วนร่วมในการแสดงความคิดเห็น โดยเปิดโอกาสให้ผู้รับบริการ ผู้มีส่วนได้ส่วนเสียร่วมแสดงความคิดเห็น รวมทั้งให้ข้อเสนอแนะ เกี่ยวกับการดำเนินการหรือการปฏิบัติงานขององค์การบริหารส่วนตำบลและส่วนราชการภายในอย่างเป็นระบบ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(๓) การมีส่วนร่วมให้เข้ามามีบทบาท โดยเปิดโอกาสให้ผู้รับบริการ ผู้มีส่วนได้ส่วนเสียมีส่วนร่วมทำงานในกระบวนการวางแผนและตัดสินใจ มีการแลกเปลี่ยนความคิดเห็นและข้อมูลระหว่างองค์การบริหารส่วนตำบลหรือส่วนราชการภายในกับผู้รับบริการหรือผู้ส่วนได้ส่วนเสียอย่างจริงจังและมีจุดมุ่งหมายที่ชัดเจน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(๔) การมีส่วนร่วมในการสร้างความร่วมมือ โดยเปิดโอกาสให้ผู้รับบริการ ผู้มีส่วนได้ส่วนเสียมีบทบาทในการตัดสินใจ ตั้งแต่ระบุปัญหา พัฒนาทางเลือก และแนวทางแก้ไขรวมทั้งการเป็นภาคีในการดำเนินกิจกรรมขององค์การบริหารส่วนตำบลหรือส่วนราชการ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(๕) มีส่วนร่วมในด้านการดำเนินงานขององค์การบริหารงานส่วนตำบล โดยเปิดโอกาสให้ ผู้รับบริการ   ผู้มีส่วนได้ส่วนเสียมีบทบาทในการร่วมแสดงความคิดเห็นและข้อเสนอแนะต่อองค์การบริหารส่วนตำบลลุโบะบายะ ตลอดจนเปิดโอกาสให้บุคลากร ร่วมแสดงความคิดเห็น หรือข้อเสนอแนะการปฏิบัติงานของผู้บริหาร โดยมีปลัดองค์การบริหารส่วนตำบลลุบายะ เป็นผู้กำกับดูแล 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 xml:space="preserve">จึงประกาศให้ทราบโดยทั่วกัน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2160" w:firstLine="720"/>
        <w:contextualSpacing w:val="0"/>
        <w:rPr>
          <w:rFonts w:ascii="TH SarabunPSK" w:cs="TH SarabunPSK" w:eastAsia="TH SarabunPSK" w:hAnsi="TH SarabunPSK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ประกาศ  ณ  วันที่  ๑๗  เดือนมิถุนายน  พ.ศ. ๒๕๖๒</w:t>
      </w:r>
    </w:p>
    <w:p w:rsidR="00000000" w:rsidDel="00000000" w:rsidP="00000000" w:rsidRDefault="00000000" w:rsidRPr="00000000">
      <w:pPr>
        <w:pBdr/>
        <w:spacing w:after="0" w:line="240" w:lineRule="auto"/>
        <w:ind w:left="2160" w:firstLine="720"/>
        <w:contextualSpacing w:val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2160" w:firstLine="720"/>
        <w:contextualSpacing w:val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720" w:firstLine="0"/>
        <w:contextualSpacing w:val="0"/>
        <w:jc w:val="center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 อาหามะบาสอรี  ดือเระ</w:t>
      </w:r>
    </w:p>
    <w:p w:rsidR="00000000" w:rsidDel="00000000" w:rsidP="00000000" w:rsidRDefault="00000000" w:rsidRPr="00000000">
      <w:pPr>
        <w:pBdr/>
        <w:spacing w:after="0" w:line="240" w:lineRule="auto"/>
        <w:ind w:left="720" w:firstLine="0"/>
        <w:contextualSpacing w:val="0"/>
        <w:jc w:val="center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( นายอาหามะบาสอรี  ดือเระ )</w:t>
      </w:r>
    </w:p>
    <w:p w:rsidR="00000000" w:rsidDel="00000000" w:rsidP="00000000" w:rsidRDefault="00000000" w:rsidRPr="00000000">
      <w:pPr>
        <w:pBdr/>
        <w:spacing w:after="0" w:line="240" w:lineRule="auto"/>
        <w:ind w:left="720" w:firstLine="0"/>
        <w:contextualSpacing w:val="0"/>
        <w:jc w:val="center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นายกองค์การบริหารส่วนตำบลลุโบะบายะ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284" w:top="426" w:left="1418" w:right="127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H Niramit AS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rsid w:val="008839C5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