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TH Niramit AS" w:cs="TH Niramit AS" w:eastAsia="TH Niramit AS" w:hAnsi="TH Niramit A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2553335</wp:posOffset>
            </wp:positionH>
            <wp:positionV relativeFrom="paragraph">
              <wp:posOffset>-172719</wp:posOffset>
            </wp:positionV>
            <wp:extent cx="1189355" cy="105156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51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TH Niramit AS" w:cs="TH Niramit AS" w:eastAsia="TH Niramit AS" w:hAnsi="TH Niramit A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TH Niramit AS" w:cs="TH Niramit AS" w:eastAsia="TH Niramit AS" w:hAnsi="TH Niramit A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TH SarabunPSK" w:cs="TH SarabunPSK" w:eastAsia="TH SarabunPSK" w:hAnsi="TH SarabunPSK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rFonts w:ascii="TH SarabunPSK" w:cs="TH SarabunPSK" w:eastAsia="TH SarabunPSK" w:hAnsi="TH SarabunPSK"/>
          <w:b w:val="1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ประกาศองค์การบริหารส่วนตำบลลุโบะบายะ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contextualSpacing w:val="0"/>
        <w:jc w:val="center"/>
        <w:rPr>
          <w:rFonts w:ascii="TH SarabunPSK" w:cs="TH SarabunPSK" w:eastAsia="TH SarabunPSK" w:hAnsi="TH SarabunPSK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เรื่อง  </w:t>
      </w:r>
      <w:r w:rsidDel="00000000" w:rsidR="00000000" w:rsidRPr="00000000">
        <w:rPr>
          <w:rFonts w:ascii="TH SarabunPSK" w:cs="TH SarabunPSK" w:eastAsia="TH SarabunPSK" w:hAnsi="TH SarabunPSK"/>
          <w:rtl w:val="0"/>
        </w:rPr>
        <w:t xml:space="preserve"> </w:t>
      </w: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rtl w:val="0"/>
        </w:rPr>
        <w:t xml:space="preserve">มาตรการส่งเสริมความโปร่งใสในการจัดซื้อจัดจ้าง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contextualSpacing w:val="0"/>
        <w:jc w:val="center"/>
        <w:rPr>
          <w:rFonts w:ascii="TH SarabunPSK" w:cs="TH SarabunPSK" w:eastAsia="TH SarabunPSK" w:hAnsi="TH SarabunPSK"/>
        </w:rPr>
      </w:pPr>
      <w:r w:rsidDel="00000000" w:rsidR="00000000" w:rsidRPr="00000000">
        <w:rPr>
          <w:rFonts w:ascii="TH SarabunPSK" w:cs="TH SarabunPSK" w:eastAsia="TH SarabunPSK" w:hAnsi="TH SarabunPSK"/>
          <w:rtl w:val="0"/>
        </w:rPr>
        <w:t xml:space="preserve"> ........................................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contextualSpacing w:val="0"/>
        <w:jc w:val="center"/>
        <w:rPr>
          <w:rFonts w:ascii="TH SarabunPSK" w:cs="TH SarabunPSK" w:eastAsia="TH SarabunPSK" w:hAnsi="TH Sarabun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เพื่อให้การบริหารราชการขององค์การบริหารส่วนตำบลลุโบะบายะเป็นไปตามหลักธรรมาภิบาลมีความโปร่งใส ตรวจสอบได้ ตลอดจนสอดคล้องกับยุทธศาสตร์ชาติว่าด้วยการป้องกันและปราบปรามการ ทุจริตและนโยบายของรัฐบาล องค์การบริหารส่วนตำบลลุโบะบายะจึงได้กำหนดมาตรการส่งเสริมความโปร่งใส ในการจัดซื้อจัดจ้าง ดังนี้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๑. ให้เจ้าหน้าที่ขององค์การบริหารส่วนตำบลลุโบะบายะ ซึ่งปฏิบัติหน้าที่เกี่ยวกับการจัดซื้อจัดจ้าง ดำเนินการเผยแพร่การจัดซื้อจัดจ้างให้เป็นไปตามพระราชบัญญัติการจัดซื้อจัดจ้างและการบริหารพัสดุภาครัฐ พ.ศ. ๒๕๖๐ และระเบียบกระทรวงการคลังว่าด้วยการจัดซื้อจัดจ้างและการบริหารพัสดุภาครัฐ พ.ศ. ๒๕๖๐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๒. ให้เจ้าหน้าที่ขององค์การบริหารส่วนตำบลลุโบะบายะ ซึ่งปฏิบัติหน้าที่เกี่ยวกับการจัดซื้อจัดจ้างดำเนินการบันทึกรายละเอียด วิธีการ และขั้นตอนการจัดซื้อจัดจ้างและการบริหารพัสดุภาครัฐ ให้เป็นไปตามขั้นตอนของระเบียบกระทรวงการคลังว่าด้วยการจัดซื้อจัดจ้างและการบริหารพัสดุภาครัฐ พ.ศ. ๒๕๖๐ โดยดำเนินการในระบบเครือข่ายสารสนเทศของกรมบัญชีกลางผ่านทางระบบจัดซื้อจัดจ้างภาครัฐด้วย อิเล็กทรอนิกส์ (Electronic Government Procurement e-GP) ตามวิธีการที่กรมบัญชีกลางกำหนดแต่ละ ขั้นตอน ดังนี้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left="720"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(๑) จัดทำแผนการจัดซื้อจัดจ้าง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left="720"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(๒) ทำรายงานขอซื้อหรือขอจ้าง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left="720"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(๓) ดำเนินการจัดหา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left="720"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(๔) ขออนุมัติสั่งซื้อหรือจ้าง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left="720"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(๕) การทำสัญญา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left="720"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(๖) การบริหารสัญญา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left="720"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(๗) การควบคุมและการจำหน่าย 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๓. ห้ามมิให้เจ้าหน้าที่ขององค์การบริหารส่วนตำบลลุโบะบายะ ซึ่งปฏิบัติหน้าที่เกี่ยวกับการจัดซื้อจัดจ้าง เข้าไปมีส่วนได้ส่วนเสียผู้ยื่นข้อเสนอหรือคู่สัญญาขององค์การบริหารส่วนตำบลลุโบะบายะและให้ คณะกรรมการต่างๆ ที่ได้รับการแต่งตั้งให้มีหน้าที่รับผิดชอบเกี่ยวกับการจัดซื้อจัดจ้างจะต้องให้คำรับรองเป็นหนังสือว่าจะไม่เข้าไปมีส่วนได้ส่วนเสียกับผู้ยื่นข้อเสนอหรือคู่สัญญาขององค์การบริหารส่วนตำบลลุโบะบายะ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๔. ห้ามมิให้เจ้าหน้าที่ขององค์การบริหารส่วนตำบลลุโบะบายะ ซึ่งปฏิบัติหน้าที่เกี่ยวกับการจัดซื้อจัดจ้าง ยอมให้ผู้อื่นอาศัยหน้าที่ของตนหาผลประโยชน์จากการจัดซื้อจัดจ้างกับองค์การบริหารส่วนตำบลลุโบะบายะ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๕. ให้หัวหน้าหน่วยงาน กำกับ ดูแล การปฏิบัติหน้าที่ของเจ้าหน้าที่ผู้ใต้บังคับบัญชา ซึ่งปฏิบัติหน้าที่เกี่ยวกับการจัดซื้อจัดจัดจ้างให้เป็นไปด้วยความเรียบร้อย กรณีปล่อยปละ ละเลย ให้ถือเป็นความผิดทางวินัย</w:t>
      </w:r>
    </w:p>
    <w:p w:rsidR="00000000" w:rsidDel="00000000" w:rsidP="00000000" w:rsidRDefault="00000000" w:rsidRPr="00000000">
      <w:pPr>
        <w:keepNext w:val="1"/>
        <w:pBdr/>
        <w:spacing w:after="0" w:line="240" w:lineRule="auto"/>
        <w:ind w:firstLine="720"/>
        <w:contextualSpacing w:val="0"/>
        <w:jc w:val="both"/>
        <w:rPr>
          <w:rFonts w:ascii="TH SarabunPSK" w:cs="TH SarabunPSK" w:eastAsia="TH SarabunPSK" w:hAnsi="TH Sarabun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ab/>
        <w:tab/>
        <w:t xml:space="preserve">จึงประกาศให้ทราบโดยทั่วกัน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H SarabunPSK" w:cs="TH SarabunPSK" w:eastAsia="TH SarabunPSK" w:hAnsi="TH SarabunPS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2160" w:firstLine="720"/>
        <w:contextualSpacing w:val="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ประกาศ  ณ  วันที่  ๑๗ เดือนมิถุนายน  พ.ศ. ๒๕๖๒</w:t>
      </w:r>
    </w:p>
    <w:p w:rsidR="00000000" w:rsidDel="00000000" w:rsidP="00000000" w:rsidRDefault="00000000" w:rsidRPr="00000000">
      <w:pPr>
        <w:pBdr/>
        <w:spacing w:after="0" w:line="240" w:lineRule="auto"/>
        <w:ind w:left="2160" w:firstLine="720"/>
        <w:contextualSpacing w:val="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2160" w:firstLine="720"/>
        <w:contextualSpacing w:val="0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720" w:firstLine="0"/>
        <w:contextualSpacing w:val="0"/>
        <w:jc w:val="center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     อาหามะบาสอรี  ดือเระ</w:t>
      </w:r>
    </w:p>
    <w:p w:rsidR="00000000" w:rsidDel="00000000" w:rsidP="00000000" w:rsidRDefault="00000000" w:rsidRPr="00000000">
      <w:pPr>
        <w:pBdr/>
        <w:spacing w:after="0" w:line="240" w:lineRule="auto"/>
        <w:ind w:left="720" w:firstLine="0"/>
        <w:contextualSpacing w:val="0"/>
        <w:jc w:val="center"/>
        <w:rPr>
          <w:rFonts w:ascii="TH SarabunPSK" w:cs="TH SarabunPSK" w:eastAsia="TH SarabunPSK" w:hAnsi="TH SarabunPSK"/>
          <w:sz w:val="32"/>
          <w:szCs w:val="32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    ( นายอาหามะบาสอรี  ดือเระ )</w:t>
      </w:r>
    </w:p>
    <w:p w:rsidR="00000000" w:rsidDel="00000000" w:rsidP="00000000" w:rsidRDefault="00000000" w:rsidRPr="00000000">
      <w:pPr>
        <w:pBdr/>
        <w:spacing w:after="0" w:line="240" w:lineRule="auto"/>
        <w:ind w:left="720" w:firstLine="0"/>
        <w:contextualSpacing w:val="0"/>
        <w:jc w:val="center"/>
        <w:rPr>
          <w:rFonts w:ascii="TH SarabunPSK" w:cs="TH SarabunPSK" w:eastAsia="TH SarabunPSK" w:hAnsi="TH SarabunPSK"/>
        </w:rPr>
      </w:pPr>
      <w:r w:rsidDel="00000000" w:rsidR="00000000" w:rsidRPr="00000000">
        <w:rPr>
          <w:rFonts w:ascii="TH SarabunPSK" w:cs="TH SarabunPSK" w:eastAsia="TH SarabunPSK" w:hAnsi="TH SarabunPSK"/>
          <w:sz w:val="32"/>
          <w:szCs w:val="32"/>
          <w:rtl w:val="0"/>
        </w:rPr>
        <w:t xml:space="preserve">     นายกองค์การบริหารส่วนตำบลลุโบะบายะ</w:t>
      </w:r>
      <w:r w:rsidDel="00000000" w:rsidR="00000000" w:rsidRPr="00000000">
        <w:rPr>
          <w:rtl w:val="0"/>
        </w:rPr>
      </w:r>
    </w:p>
    <w:sectPr>
      <w:pgSz w:h="16838" w:w="11906"/>
      <w:pgMar w:bottom="284" w:top="426" w:left="1134" w:right="849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H Niramit AS"/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